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1" w:rsidRDefault="006C71D1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936"/>
        <w:gridCol w:w="6945"/>
      </w:tblGrid>
      <w:tr w:rsidR="00674FC6" w:rsidRPr="00FA4506" w:rsidTr="009D2F9C">
        <w:trPr>
          <w:trHeight w:val="1714"/>
        </w:trPr>
        <w:tc>
          <w:tcPr>
            <w:tcW w:w="3936" w:type="dxa"/>
            <w:vAlign w:val="center"/>
          </w:tcPr>
          <w:p w:rsidR="00674FC6" w:rsidRPr="00FA4506" w:rsidRDefault="00266280" w:rsidP="00C7564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92D3FF" wp14:editId="2BDBC4E4">
                  <wp:extent cx="2089928" cy="798299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539" cy="814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674FC6" w:rsidRPr="00FA4506" w:rsidRDefault="00266280" w:rsidP="00C75640">
            <w:pPr>
              <w:pStyle w:val="af"/>
              <w:ind w:left="25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0EB817" wp14:editId="18B93548">
                  <wp:extent cx="2190422" cy="76862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812" cy="1248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C6" w:rsidRDefault="00674FC6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6E14" w:rsidRPr="00526E14" w:rsidRDefault="002128D2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26 февраля</w:t>
      </w:r>
      <w:r w:rsidR="00A350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02 марта</w:t>
      </w:r>
      <w:r w:rsidR="00686C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526E14" w:rsidRPr="00526E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686C15" w:rsidRDefault="006C71D1" w:rsidP="00686C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r w:rsidR="00B612DD">
        <w:rPr>
          <w:rFonts w:ascii="Times New Roman" w:hAnsi="Times New Roman"/>
          <w:b/>
          <w:bCs/>
          <w:sz w:val="24"/>
          <w:szCs w:val="24"/>
          <w:lang w:eastAsia="ru-RU"/>
        </w:rPr>
        <w:t>икл семинаров</w:t>
      </w:r>
    </w:p>
    <w:p w:rsidR="00686C15" w:rsidRPr="00674FC6" w:rsidRDefault="00686C15" w:rsidP="00686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095A">
        <w:rPr>
          <w:rFonts w:ascii="Times New Roman" w:hAnsi="Times New Roman"/>
          <w:b/>
          <w:bCs/>
          <w:iCs/>
          <w:color w:val="000000"/>
          <w:sz w:val="24"/>
          <w:szCs w:val="24"/>
        </w:rPr>
        <w:t>«Бухгалтерский учет и финансовая отчетность в микрофинансовых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</w:t>
      </w:r>
      <w:r w:rsidR="00674FC6" w:rsidRPr="00674FC6">
        <w:rPr>
          <w:rFonts w:ascii="Times New Roman" w:hAnsi="Times New Roman"/>
          <w:b/>
          <w:bCs/>
          <w:sz w:val="24"/>
          <w:szCs w:val="24"/>
        </w:rPr>
        <w:t>сельскохозяйственных кредитных потребительских кооператив</w:t>
      </w:r>
      <w:r w:rsidR="00674FC6">
        <w:rPr>
          <w:rFonts w:ascii="Times New Roman" w:hAnsi="Times New Roman"/>
          <w:b/>
          <w:bCs/>
          <w:sz w:val="24"/>
          <w:szCs w:val="24"/>
        </w:rPr>
        <w:t>ах</w:t>
      </w:r>
      <w:r w:rsidR="00674FC6"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>и ломбардах»</w:t>
      </w:r>
    </w:p>
    <w:p w:rsidR="00F26696" w:rsidRPr="00983E7A" w:rsidRDefault="00686C15" w:rsidP="00686C15">
      <w:pPr>
        <w:tabs>
          <w:tab w:val="left" w:pos="4335"/>
        </w:tabs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983E7A">
        <w:rPr>
          <w:rFonts w:ascii="Times New Roman" w:hAnsi="Times New Roman"/>
          <w:lang w:eastAsia="ru-RU"/>
        </w:rPr>
        <w:t xml:space="preserve"> </w:t>
      </w:r>
      <w:r w:rsidR="00526E14" w:rsidRPr="00983E7A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b/>
          <w:bCs/>
          <w:lang w:eastAsia="ru-RU"/>
        </w:rPr>
        <w:t>2</w:t>
      </w:r>
      <w:r w:rsidR="00350CE5">
        <w:rPr>
          <w:rFonts w:ascii="Times New Roman" w:hAnsi="Times New Roman"/>
          <w:b/>
          <w:bCs/>
          <w:lang w:eastAsia="ru-RU"/>
        </w:rPr>
        <w:t>8</w:t>
      </w:r>
      <w:r w:rsidR="00526E14" w:rsidRPr="00983E7A">
        <w:rPr>
          <w:rFonts w:ascii="Times New Roman" w:hAnsi="Times New Roman"/>
          <w:b/>
          <w:bCs/>
          <w:lang w:eastAsia="ru-RU"/>
        </w:rPr>
        <w:t xml:space="preserve"> акад. час</w:t>
      </w:r>
      <w:r w:rsidR="000D5427">
        <w:rPr>
          <w:rFonts w:ascii="Times New Roman" w:hAnsi="Times New Roman"/>
          <w:b/>
          <w:bCs/>
          <w:lang w:eastAsia="ru-RU"/>
        </w:rPr>
        <w:t>ов</w:t>
      </w:r>
      <w:r w:rsidR="00031A00">
        <w:rPr>
          <w:rFonts w:ascii="Times New Roman" w:hAnsi="Times New Roman"/>
          <w:b/>
          <w:bCs/>
          <w:lang w:eastAsia="ru-RU"/>
        </w:rPr>
        <w:t xml:space="preserve"> – </w:t>
      </w:r>
      <w:r w:rsidR="00350CE5">
        <w:rPr>
          <w:rFonts w:ascii="Times New Roman" w:hAnsi="Times New Roman"/>
          <w:b/>
          <w:bCs/>
          <w:lang w:eastAsia="ru-RU"/>
        </w:rPr>
        <w:t>7</w:t>
      </w:r>
      <w:r w:rsidR="005D4F8D" w:rsidRPr="00983E7A">
        <w:rPr>
          <w:rFonts w:ascii="Times New Roman" w:hAnsi="Times New Roman"/>
          <w:b/>
          <w:bCs/>
          <w:lang w:eastAsia="ru-RU"/>
        </w:rPr>
        <w:t xml:space="preserve"> семинаров по 4 часа</w:t>
      </w:r>
      <w:r w:rsidR="00674FC6" w:rsidRPr="00674FC6">
        <w:rPr>
          <w:rFonts w:ascii="Times New Roman" w:hAnsi="Times New Roman"/>
          <w:b/>
          <w:bCs/>
          <w:lang w:eastAsia="ru-RU"/>
        </w:rPr>
        <w:t xml:space="preserve"> + 4 </w:t>
      </w:r>
      <w:r w:rsidR="00674FC6">
        <w:rPr>
          <w:rFonts w:ascii="Times New Roman" w:hAnsi="Times New Roman"/>
          <w:b/>
          <w:bCs/>
          <w:lang w:eastAsia="ru-RU"/>
        </w:rPr>
        <w:t>часа бесплатный вводный вебинар</w:t>
      </w:r>
      <w:r w:rsidR="00526E14" w:rsidRPr="00983E7A">
        <w:rPr>
          <w:rFonts w:ascii="Times New Roman" w:hAnsi="Times New Roman"/>
          <w:b/>
          <w:bCs/>
          <w:lang w:eastAsia="ru-RU"/>
        </w:rPr>
        <w:t>)</w:t>
      </w:r>
    </w:p>
    <w:p w:rsidR="006C71D1" w:rsidRPr="00F26696" w:rsidRDefault="006C71D1" w:rsidP="006C71D1">
      <w:pPr>
        <w:tabs>
          <w:tab w:val="left" w:pos="4335"/>
        </w:tabs>
        <w:spacing w:after="0"/>
        <w:jc w:val="center"/>
        <w:rPr>
          <w:lang w:eastAsia="ru-RU"/>
        </w:rPr>
      </w:pPr>
    </w:p>
    <w:p w:rsidR="006C71D1" w:rsidRPr="009E4D80" w:rsidRDefault="00711CE0" w:rsidP="006C71D1">
      <w:pPr>
        <w:pStyle w:val="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Институт МФЦ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НАУМИР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приглаша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ю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 принять участие в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цикле 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семинар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>ов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теме 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«Бухгалтерский учет и финансовая отчетность в микрофинансовых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, </w:t>
      </w:r>
      <w:r w:rsidR="00674FC6" w:rsidRPr="00674FC6">
        <w:rPr>
          <w:rFonts w:ascii="Times New Roman" w:hAnsi="Times New Roman"/>
          <w:bCs w:val="0"/>
          <w:i/>
          <w:sz w:val="22"/>
          <w:szCs w:val="22"/>
        </w:rPr>
        <w:t>сельскохозяйственных кредитных потребительских кооперативах</w:t>
      </w:r>
      <w:r w:rsidR="00674FC6" w:rsidRP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 </w:t>
      </w:r>
      <w:r w:rsidR="00686C15" w:rsidRPr="00674FC6">
        <w:rPr>
          <w:rFonts w:ascii="Times New Roman" w:hAnsi="Times New Roman" w:cs="Times New Roman"/>
          <w:bCs w:val="0"/>
          <w:i/>
          <w:sz w:val="22"/>
          <w:szCs w:val="22"/>
        </w:rPr>
        <w:t>и ломба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рдах»</w:t>
      </w:r>
      <w:r w:rsidR="007F5178">
        <w:rPr>
          <w:rFonts w:ascii="Times New Roman" w:hAnsi="Times New Roman" w:cs="Times New Roman"/>
          <w:b w:val="0"/>
          <w:bCs w:val="0"/>
          <w:sz w:val="22"/>
          <w:szCs w:val="22"/>
        </w:rPr>
        <w:t>. Семинары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пройдут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</w:t>
      </w:r>
      <w:r w:rsidR="000C3F93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Москве </w:t>
      </w:r>
      <w:r w:rsidR="00526E14" w:rsidRPr="009E4D80">
        <w:rPr>
          <w:rFonts w:ascii="Times New Roman" w:hAnsi="Times New Roman" w:cs="Times New Roman"/>
          <w:bCs w:val="0"/>
          <w:sz w:val="22"/>
          <w:szCs w:val="22"/>
        </w:rPr>
        <w:t xml:space="preserve">с </w:t>
      </w:r>
      <w:r w:rsidR="002128D2">
        <w:rPr>
          <w:rFonts w:ascii="Times New Roman" w:hAnsi="Times New Roman" w:cs="Times New Roman"/>
          <w:bCs w:val="0"/>
          <w:sz w:val="22"/>
          <w:szCs w:val="22"/>
        </w:rPr>
        <w:t>26 февраля</w:t>
      </w:r>
      <w:r w:rsidR="00350CE5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031A00" w:rsidRPr="00031A00">
        <w:rPr>
          <w:rFonts w:ascii="Times New Roman" w:hAnsi="Times New Roman" w:cs="Times New Roman"/>
          <w:bCs w:val="0"/>
          <w:sz w:val="22"/>
          <w:szCs w:val="22"/>
        </w:rPr>
        <w:t xml:space="preserve">по </w:t>
      </w:r>
      <w:r w:rsidR="002128D2">
        <w:rPr>
          <w:rFonts w:ascii="Times New Roman" w:hAnsi="Times New Roman" w:cs="Times New Roman"/>
          <w:bCs w:val="0"/>
          <w:sz w:val="22"/>
          <w:szCs w:val="22"/>
        </w:rPr>
        <w:t>02 марта</w:t>
      </w:r>
      <w:r w:rsidR="009E6976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8E5F16" w:rsidRPr="009E4D80">
        <w:rPr>
          <w:rFonts w:ascii="Times New Roman" w:hAnsi="Times New Roman" w:cs="Times New Roman"/>
          <w:bCs w:val="0"/>
          <w:sz w:val="22"/>
          <w:szCs w:val="22"/>
        </w:rPr>
        <w:t>201</w:t>
      </w:r>
      <w:r w:rsidR="002128D2">
        <w:rPr>
          <w:rFonts w:ascii="Times New Roman" w:hAnsi="Times New Roman" w:cs="Times New Roman"/>
          <w:bCs w:val="0"/>
          <w:sz w:val="22"/>
          <w:szCs w:val="22"/>
        </w:rPr>
        <w:t>8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 xml:space="preserve"> года</w:t>
      </w:r>
      <w:r w:rsidR="00983E7A" w:rsidRP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дневное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время (с 1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.00 до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13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.00</w:t>
      </w:r>
      <w:r w:rsidR="00B56EE4">
        <w:rPr>
          <w:rFonts w:ascii="Times New Roman" w:hAnsi="Times New Roman" w:cs="Times New Roman"/>
          <w:b w:val="0"/>
          <w:bCs w:val="0"/>
          <w:sz w:val="22"/>
          <w:szCs w:val="22"/>
        </w:rPr>
        <w:t>/ с 14.00 до 17.00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</w:t>
      </w:r>
      <w:r w:rsidR="004D5A77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соответствии с нижеуказанным расписанием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>.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Семинар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провод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я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тся 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>с участием в</w:t>
      </w:r>
      <w:r w:rsidR="00FB3CFD" w:rsidRPr="00FB3CFD">
        <w:rPr>
          <w:rFonts w:ascii="Times New Roman" w:hAnsi="Times New Roman" w:cs="Times New Roman"/>
          <w:b w:val="0"/>
          <w:bCs w:val="0"/>
          <w:sz w:val="22"/>
          <w:szCs w:val="22"/>
        </w:rPr>
        <w:t>едущего методолога Института МФЦ по переходу НФО на ЕПС и ОСБУ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аудитор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практик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6C71D1" w:rsidRPr="005D4F8D" w:rsidRDefault="006C71D1" w:rsidP="006C71D1">
      <w:pPr>
        <w:spacing w:after="0" w:line="220" w:lineRule="exact"/>
        <w:rPr>
          <w:rFonts w:ascii="Times New Roman" w:hAnsi="Times New Roman"/>
          <w:b/>
          <w:sz w:val="24"/>
          <w:szCs w:val="24"/>
        </w:rPr>
      </w:pPr>
    </w:p>
    <w:p w:rsidR="00474EBF" w:rsidRPr="005D4F8D" w:rsidRDefault="005D4F8D" w:rsidP="006C71D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4F8D">
        <w:rPr>
          <w:rFonts w:ascii="Times New Roman" w:hAnsi="Times New Roman"/>
          <w:b/>
          <w:sz w:val="24"/>
          <w:szCs w:val="24"/>
        </w:rPr>
        <w:t>Темы и содержание семинаров</w:t>
      </w:r>
    </w:p>
    <w:p w:rsidR="000C3F93" w:rsidRPr="006C71D1" w:rsidRDefault="000C3F93" w:rsidP="006C71D1">
      <w:pPr>
        <w:tabs>
          <w:tab w:val="left" w:pos="737"/>
        </w:tabs>
        <w:spacing w:before="120" w:after="0" w:line="220" w:lineRule="exact"/>
        <w:rPr>
          <w:rFonts w:ascii="Times New Roman" w:hAnsi="Times New Roman"/>
          <w:b/>
        </w:rPr>
      </w:pPr>
    </w:p>
    <w:tbl>
      <w:tblPr>
        <w:tblW w:w="1035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686C15" w:rsidRPr="000142B3" w:rsidTr="005C1DB6">
        <w:trPr>
          <w:trHeight w:val="466"/>
        </w:trPr>
        <w:tc>
          <w:tcPr>
            <w:tcW w:w="10359" w:type="dxa"/>
            <w:shd w:val="clear" w:color="auto" w:fill="FFFFFF" w:themeFill="background1"/>
            <w:vAlign w:val="center"/>
          </w:tcPr>
          <w:p w:rsidR="00686C15" w:rsidRPr="000142B3" w:rsidRDefault="00686C15" w:rsidP="00526E14">
            <w:pPr>
              <w:spacing w:line="240" w:lineRule="exact"/>
              <w:jc w:val="center"/>
              <w:rPr>
                <w:b/>
                <w:bCs/>
              </w:rPr>
            </w:pPr>
            <w:r w:rsidRPr="00686C15">
              <w:rPr>
                <w:rFonts w:ascii="Times New Roman" w:hAnsi="Times New Roman"/>
                <w:b/>
                <w:bCs/>
              </w:rPr>
              <w:t>Даты и время проведения. Вопросы</w:t>
            </w:r>
            <w:r>
              <w:rPr>
                <w:b/>
                <w:bCs/>
              </w:rPr>
              <w:t>.</w:t>
            </w:r>
          </w:p>
        </w:tc>
      </w:tr>
      <w:tr w:rsidR="00686C15" w:rsidRPr="00AD0046" w:rsidTr="005C1DB6">
        <w:trPr>
          <w:trHeight w:val="256"/>
        </w:trPr>
        <w:tc>
          <w:tcPr>
            <w:tcW w:w="10359" w:type="dxa"/>
            <w:vAlign w:val="center"/>
          </w:tcPr>
          <w:p w:rsidR="005C1DB6" w:rsidRP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Вебинар</w:t>
            </w:r>
            <w:r w:rsidR="00B612D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(вводный). «Переход участников рынка микрофинансирования на план счетов (ЕПС) и отраслевые стандарты бухгалтерского учета (ОСБУ) Банка России для некредитных финансовых организаций (НФО)»</w:t>
            </w:r>
            <w:r w:rsidR="00674FC6">
              <w:rPr>
                <w:rStyle w:val="af3"/>
                <w:rFonts w:ascii="Times New Roman" w:hAnsi="Times New Roman"/>
                <w:b/>
                <w:u w:val="single"/>
                <w:lang w:eastAsia="ru-RU"/>
              </w:rPr>
              <w:footnoteReference w:id="1"/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5C1DB6" w:rsidRPr="005C1DB6" w:rsidRDefault="005C1DB6" w:rsidP="005C1DB6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28" w:right="176" w:hanging="328"/>
              <w:jc w:val="both"/>
              <w:rPr>
                <w:rFonts w:ascii="Times New Roman" w:hAnsi="Times New Roman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>Новая система бухгалтерского учета и бухгалтерской (финансовой) отчетности для некредитных финансовых организаций (НФО).</w:t>
            </w:r>
            <w:r w:rsidRPr="005C1DB6">
              <w:rPr>
                <w:rFonts w:ascii="Times New Roman" w:hAnsi="Times New Roman"/>
                <w:lang w:eastAsia="ru-RU"/>
              </w:rPr>
              <w:t xml:space="preserve"> Методологические основы формируемой Банком России системы бухгалтерского учета и финансовой (бухгалтерской) отчетности. Нормативное регулирование. </w:t>
            </w:r>
          </w:p>
          <w:p w:rsidR="00686C15" w:rsidRPr="005C1DB6" w:rsidRDefault="005C1DB6" w:rsidP="00FB48C2">
            <w:pPr>
              <w:numPr>
                <w:ilvl w:val="0"/>
                <w:numId w:val="29"/>
              </w:numPr>
              <w:spacing w:after="0" w:line="240" w:lineRule="auto"/>
              <w:ind w:left="328" w:right="176" w:hanging="3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>Вопросы перехода участников рынка микрофинансирования (небанковских профессиональных кредиторов)</w:t>
            </w:r>
            <w:r w:rsidRPr="005C1DB6">
              <w:rPr>
                <w:rFonts w:ascii="Times New Roman" w:hAnsi="Times New Roman"/>
                <w:lang w:eastAsia="ru-RU"/>
              </w:rPr>
              <w:t>. Организационные вопросы перехода: планирование и реализация. Проблемы перехода и пути их решения. Что ожидать и как действовать «маленьким» участникам финансового рынка? Что нужно изучить и знать для ведения бухгалтерского учета, составления бухгалтерской отчетности микрофинансовой организации (МФО) и других участников рынка микрофинансирования? Как бухгалтерам пройти переподготовку и не остаться «за бортом», не «потерять» профессию?</w:t>
            </w:r>
          </w:p>
        </w:tc>
      </w:tr>
      <w:tr w:rsidR="00686C15" w:rsidRPr="00AD0046" w:rsidTr="00350CE5">
        <w:trPr>
          <w:trHeight w:val="617"/>
        </w:trPr>
        <w:tc>
          <w:tcPr>
            <w:tcW w:w="10359" w:type="dxa"/>
            <w:shd w:val="clear" w:color="auto" w:fill="E0E0E0"/>
            <w:vAlign w:val="center"/>
          </w:tcPr>
          <w:p w:rsidR="00686C15" w:rsidRDefault="002128D2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февраля</w:t>
            </w:r>
            <w:r w:rsidR="00350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B4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  <w:p w:rsidR="00350CE5" w:rsidRPr="00350CE5" w:rsidRDefault="00350CE5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«</w:t>
            </w:r>
            <w:r w:rsidRPr="00350CE5">
              <w:rPr>
                <w:rFonts w:ascii="Times New Roman" w:hAnsi="Times New Roman"/>
                <w:b/>
                <w:lang w:eastAsia="ru-RU"/>
              </w:rPr>
              <w:t>Единый план счетов и основы бухгалтерского учета в НФО</w:t>
            </w:r>
            <w:r>
              <w:rPr>
                <w:rFonts w:ascii="Times New Roman" w:hAnsi="Times New Roman"/>
                <w:lang w:eastAsia="ru-RU"/>
              </w:rPr>
              <w:t>».</w:t>
            </w:r>
            <w:r w:rsidR="00674FC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86C15" w:rsidRPr="00AD0046" w:rsidTr="005C1DB6">
        <w:trPr>
          <w:trHeight w:val="2282"/>
        </w:trPr>
        <w:tc>
          <w:tcPr>
            <w:tcW w:w="10359" w:type="dxa"/>
            <w:vAlign w:val="center"/>
          </w:tcPr>
          <w:p w:rsidR="00674FC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lastRenderedPageBreak/>
              <w:t xml:space="preserve">Семинар 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. «Изучаем единый план счетов и осн</w:t>
            </w:r>
            <w:r w:rsidR="00674FC6">
              <w:rPr>
                <w:rFonts w:ascii="Times New Roman" w:hAnsi="Times New Roman"/>
                <w:b/>
                <w:u w:val="single"/>
                <w:lang w:eastAsia="ru-RU"/>
              </w:rPr>
              <w:t xml:space="preserve">овы бухгалтерского учета в НФО» </w:t>
            </w:r>
          </w:p>
          <w:p w:rsidR="005C1DB6" w:rsidRPr="00674FC6" w:rsidRDefault="00674FC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 w:rsidR="002128D2">
              <w:rPr>
                <w:rFonts w:ascii="Times New Roman" w:hAnsi="Times New Roman"/>
                <w:b/>
                <w:lang w:eastAsia="ru-RU"/>
              </w:rPr>
              <w:t>26 февраля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201</w:t>
            </w:r>
            <w:r w:rsidR="002128D2">
              <w:rPr>
                <w:rFonts w:ascii="Times New Roman" w:hAnsi="Times New Roman"/>
                <w:b/>
                <w:lang w:eastAsia="ru-RU"/>
              </w:rPr>
              <w:t>8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г.</w:t>
            </w:r>
            <w:r w:rsidR="00B56EE4">
              <w:rPr>
                <w:rFonts w:ascii="Times New Roman" w:hAnsi="Times New Roman"/>
                <w:b/>
                <w:lang w:eastAsia="ru-RU"/>
              </w:rPr>
              <w:t xml:space="preserve"> с 10:00- 13:00</w:t>
            </w:r>
            <w:r w:rsidRPr="00674FC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Структура и логика плана сч</w:t>
            </w:r>
            <w:r w:rsidR="00674FC6">
              <w:rPr>
                <w:rFonts w:ascii="Times New Roman" w:hAnsi="Times New Roman"/>
              </w:rPr>
              <w:t>етов. Система нумерации счетов.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Виды счетов: активные, пассивные, парные счета, счета «без признака счета»; счета первого и второго порядка; балансовые счета, счета доверительного управления, внебалансовые счета, счета по учету требований и обязательств по производным финансовым инструментам. Основные принципы бухгалтерского учета в НФО, определяемые планом счетов и порядком его применения: двойная запись, непрерывность учета, синтетический и аналитический учет, порядок сальдирования по счетам, раздельный учет собственного и иного имущества и др.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Сравнительный анализ нового плана счетов для НФО и плана счетов бухгалтерского учета финансово-хозяйственной деятельности организаций («плана счетов Минфина»). Соотношение систем бухгалтерского учета и финансовой отчетности для кредитных организаций и НФО.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</w:t>
            </w:r>
            <w:bookmarkStart w:id="0" w:name="_GoBack"/>
            <w:bookmarkEnd w:id="0"/>
            <w:r w:rsidRPr="005C1DB6">
              <w:rPr>
                <w:rFonts w:ascii="Times New Roman" w:hAnsi="Times New Roman"/>
              </w:rPr>
              <w:t xml:space="preserve"> учета и назначение счета (счетов), применение и корреспонденция, особенности использования, организация аналитического учета:</w:t>
            </w:r>
          </w:p>
          <w:p w:rsidR="005C1DB6" w:rsidRPr="005C1DB6" w:rsidRDefault="005C1DB6" w:rsidP="005C1DB6">
            <w:pPr>
              <w:spacing w:after="0"/>
              <w:ind w:left="709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4.1</w:t>
            </w:r>
            <w:r w:rsidRPr="005C1DB6">
              <w:rPr>
                <w:rFonts w:ascii="Times New Roman" w:hAnsi="Times New Roman"/>
              </w:rPr>
              <w:tab/>
            </w:r>
            <w:r w:rsidRPr="005C1DB6">
              <w:rPr>
                <w:rFonts w:ascii="Times New Roman" w:hAnsi="Times New Roman"/>
                <w:i/>
              </w:rPr>
              <w:t>Балансовые счета:</w:t>
            </w:r>
            <w:r w:rsidRPr="005C1DB6">
              <w:rPr>
                <w:rFonts w:ascii="Times New Roman" w:hAnsi="Times New Roman"/>
              </w:rPr>
              <w:t xml:space="preserve">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1. Капитал и целевое финансирование.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2. Денежные средства и драгоценные металлы.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3. Требования и обязательства по договорам, имеющим отраслевую специфику.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4. Операции с клиентами и прочие расчеты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5. Операции с ценными бумагами и производными финансовыми инструментами.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6. Средства и имущество.</w:t>
            </w:r>
          </w:p>
          <w:p w:rsidR="00686C15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7. Финансовые результаты.</w:t>
            </w:r>
          </w:p>
        </w:tc>
      </w:tr>
      <w:tr w:rsidR="00686C15" w:rsidRPr="00AD0046" w:rsidTr="005C1DB6">
        <w:trPr>
          <w:trHeight w:val="2208"/>
        </w:trPr>
        <w:tc>
          <w:tcPr>
            <w:tcW w:w="10359" w:type="dxa"/>
            <w:vAlign w:val="center"/>
          </w:tcPr>
          <w:p w:rsid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Семинар 2. «Продолжаем изучать единый план счетов и основы бухгалтерского учета в НФО</w:t>
            </w:r>
            <w:r w:rsidR="00177227">
              <w:rPr>
                <w:rFonts w:ascii="Times New Roman" w:hAnsi="Times New Roman"/>
                <w:b/>
                <w:u w:val="single"/>
                <w:lang w:eastAsia="ru-RU"/>
              </w:rPr>
              <w:t>»</w:t>
            </w:r>
          </w:p>
          <w:p w:rsidR="00177227" w:rsidRPr="00674FC6" w:rsidRDefault="00B56EE4" w:rsidP="00B56E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 w:rsidR="002128D2">
              <w:rPr>
                <w:rFonts w:ascii="Times New Roman" w:hAnsi="Times New Roman"/>
                <w:b/>
                <w:lang w:eastAsia="ru-RU"/>
              </w:rPr>
              <w:t>26 февраля</w:t>
            </w:r>
            <w:r w:rsidR="002128D2" w:rsidRPr="00674FC6">
              <w:rPr>
                <w:rFonts w:ascii="Times New Roman" w:hAnsi="Times New Roman"/>
                <w:b/>
                <w:lang w:eastAsia="ru-RU"/>
              </w:rPr>
              <w:t xml:space="preserve"> 201</w:t>
            </w:r>
            <w:r w:rsidR="002128D2">
              <w:rPr>
                <w:rFonts w:ascii="Times New Roman" w:hAnsi="Times New Roman"/>
                <w:b/>
                <w:lang w:eastAsia="ru-RU"/>
              </w:rPr>
              <w:t>8</w:t>
            </w:r>
            <w:r w:rsidR="002128D2" w:rsidRPr="00674FC6">
              <w:rPr>
                <w:rFonts w:ascii="Times New Roman" w:hAnsi="Times New Roman"/>
                <w:b/>
                <w:lang w:eastAsia="ru-RU"/>
              </w:rPr>
              <w:t xml:space="preserve"> г.</w:t>
            </w:r>
            <w:r w:rsidR="002128D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с 14:00- 17:00</w:t>
            </w:r>
            <w:r w:rsidRPr="00674FC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spacing w:after="0" w:line="259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 (продолжение):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доверительного управления (справочно).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 xml:space="preserve">Внебалансовые счета. </w:t>
            </w:r>
            <w:r w:rsidRPr="005C1DB6">
              <w:rPr>
                <w:rFonts w:ascii="Times New Roman" w:hAnsi="Times New Roman"/>
              </w:rPr>
              <w:t>Расчетные операции и документы. Операции финансовой аренды, займы выданные, условные обязательства и условные требования. Задолженность, вынесенная за баланс.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по учету требований и обязательств по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(сделки).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Применение/неприменение некредитными финансовыми организациями определенных счетов первого (второго) порядка в зависимости от типа НФО.</w:t>
            </w:r>
          </w:p>
          <w:p w:rsidR="00686C15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B6">
              <w:rPr>
                <w:rFonts w:ascii="Times New Roman" w:hAnsi="Times New Roman"/>
              </w:rPr>
              <w:t>Составление и утверждение рабочего плана счетов для НФО микрофинансовых организаций и других участников рынка микрофинансирования.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2128D2" w:rsidP="002128D2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февраля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3. «Изучаем применение профильных ОСБУ МФО и другими небанковскими профессиональными кредиторами»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ОСБУ по выдаче (размещению) денежных средств по договорам займа и договорам банковского вклада. Порядок бухгалтерского учета </w:t>
            </w:r>
            <w:r w:rsidRPr="00F230DC">
              <w:rPr>
                <w:rFonts w:ascii="Times New Roman" w:hAnsi="Times New Roman"/>
                <w:color w:val="000000"/>
                <w:lang w:eastAsia="ru-RU"/>
              </w:rPr>
              <w:t>операций по предоставлению (размещению) денежных средств по договорам займа и договорам банковского вклада (депозита).</w:t>
            </w:r>
          </w:p>
          <w:p w:rsidR="00686C15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ОСБУ по привлечению денежных средств по договорам займа и кредитным договорам, выпуску и погашению (оплате) облигаций и векселей. Порядок бухгалтерского учета операций по привлечению денежных средств по договорам займа и кредитным договорам, операций по выпуску и погашению (оплате) облигаций и векселей.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B56EE4" w:rsidP="002128D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128D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28D2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128D2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4. «Изучаем применение отраслевых стандартов бухгалтерского учета (ОСБУ) в НФО. Учет общехозяйственных и некоторых профессиональных операций»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Система отраслевых стандартов бухгалтерского учета и финансовой отчетности и составляющие ее документы (проекты документов) Банка России.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Формирование учетной политики НФО на основании соответствующего ОСБУ.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Порядок бухгалтерского учета в соответствии общими отраслевыми стандартами: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договоров аренды;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вознаграждений работникам;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резервов-оценочных обязательств и условных обязательств;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основных средств и нематериальных активов;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некоторых других операций.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Порядок определения доходов, расходов и прочего совокупного дохода (на основе соответствующего отраслевого стандарта).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lastRenderedPageBreak/>
              <w:t>Бухгалтерский учет отложенных налоговых обязательств и отложенных налоговых активов.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Исправление ошибок в бухгалтерском учете. События после отчетной даты.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2128D2" w:rsidP="00B56EE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 февраля 2018 г.</w:t>
            </w:r>
            <w:r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B11165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5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«Финансовая (бухгалтерская) отчетность НФО - азы и общие подходы»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  <w:r w:rsidR="00B11165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A42C2B" w:rsidRPr="00F230DC" w:rsidRDefault="00B11165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«Финансовая (бухгалтерская) отчетность МФО и других участн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Общие принципы составления бухгалтерской (финансовой) отчетности, применяемые всеми типами НФО. Положения Банка России, определяющие порядок составления бухгалтерской (финансовой) отчетности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 xml:space="preserve">Годовая и промежуточная бухгалтерская (финансовая) отчетность НФО. Состав годовой бухгалтерской (финансовой) отчетности: </w:t>
            </w:r>
            <w:r w:rsidRPr="00F230DC">
              <w:rPr>
                <w:rFonts w:ascii="Times New Roman" w:hAnsi="Times New Roman"/>
                <w:i/>
              </w:rPr>
              <w:t>Отчет о финансовом положении (бухгалтерский баланс)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 прибыли или убытке и прочем совокупном доходе (отчет о финансовых результатах)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об изменениях собственного капитала, Отчет о потоках денежных средств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 xml:space="preserve">Примечания к бухгалтерской (финансовой) отчетности. </w:t>
            </w:r>
            <w:r w:rsidRPr="00F230DC">
              <w:rPr>
                <w:rFonts w:ascii="Times New Roman" w:hAnsi="Times New Roman"/>
              </w:rPr>
              <w:t>Состав промежуточной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Порядок отражения в бухгалтерской (финансовой) отчетности инвестиций в дочерние и ассоциированные компании.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Некоторые вопросы составления бухгалтерской (финансовой) отчетности по некоторым типам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Представление бухгалтерской (финансовой) отчетности в Банк России и публикация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Обязательный аудит, аудиторское заключение годовой бухгалтерской (финансовой) отчетности.</w:t>
            </w:r>
          </w:p>
          <w:p w:rsidR="00A42C2B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Раскрытие информации: о рисках, связанных с финансовыми инструментами; о справедливой стоимости и нек. др.</w:t>
            </w:r>
          </w:p>
          <w:p w:rsidR="00A42C2B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Регламентация Банком России состава, порядка составления и представления финансовой (бухгалтерской) отчетности участниками рынка микрофинансирования (небанковскими профессиональными кредиторами) - на основе соответствующего ОСБУ Банка России (проекта ОСБУ).</w:t>
            </w:r>
          </w:p>
          <w:p w:rsid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Особенности составления бухгалтерской (финансовой) отчетности МФО.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Вопросы составления бухгалтерской (финансовой) отчетности другими видами небанковских профессиональных кредиторов (</w:t>
            </w:r>
            <w:r w:rsidRPr="00B11165">
              <w:rPr>
                <w:rFonts w:ascii="Times New Roman" w:hAnsi="Times New Roman"/>
                <w:bCs/>
              </w:rPr>
              <w:t>КПК, ЖНК, С/хКПК, ломбарды).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Некоторые вопросы трансформации отчетности МФО и других участников рынка микрофинансирования, составленной по требованиям Минфина РФ, в формат Банка России.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2128D2" w:rsidP="002128D2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марта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6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«Интегрируем и применяем полученные знания по плану счетов и основам бухгалтерского учета. Решение кейсов по учету типовых операций для МФО и других участн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поступлений от учредителей микрофинансовой организации при создании МФО, при оказании безвозмездной финансовой помощи».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Кейсы и примеры: «Учет кассовых и банковских операций». 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подотчетными лицами».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привлеченных кредитов и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выданных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имуществом, являющимся предметом залога».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переуступки прав требования. Учет пеней, штрафов, начисляемых заемщикам, уплачиваемых заемщиками. Учет операций (списания) безнадежной задолженности».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обязательных и добровольных взносов и платежей (взносов в СРО, иные ассоциации (объединения))».</w:t>
            </w:r>
          </w:p>
          <w:p w:rsidR="00686C15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Иные кейсы и примеры по операциям, характерным для профильной деятельности МФО, </w:t>
            </w:r>
            <w:r w:rsidRPr="00F230DC">
              <w:rPr>
                <w:rFonts w:ascii="Times New Roman" w:hAnsi="Times New Roman"/>
                <w:bCs/>
              </w:rPr>
              <w:t>КПК, ЖНК, С/хКПК, ломбардов.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Default="002128D2" w:rsidP="002128D2">
            <w:pPr>
              <w:pStyle w:val="a7"/>
              <w:spacing w:after="0" w:line="240" w:lineRule="auto"/>
              <w:ind w:left="441" w:hanging="425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марта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77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7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«Закрепляем азы «нового» учета и отчетности. Практические рекомендации МФО и другим участникам рынка микрофинансирования по переходу и применению ЕПС и ОСБУ</w:t>
            </w:r>
            <w:r w:rsidR="00F230DC">
              <w:rPr>
                <w:rFonts w:ascii="Times New Roman" w:hAnsi="Times New Roman"/>
                <w:b/>
                <w:u w:val="single"/>
                <w:lang w:eastAsia="ru-RU"/>
              </w:rPr>
              <w:t>».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учетной политики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рабочего плана счетов и таблицы соответствия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Урегулированные вопросы налогового учета при переходе и применении системы бухгалтерского учета и финансовой (бухгалтерской) отчетности Банка России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Анализ примеров (вариантов) рабочих планов счетов, таблиц соответствия и учетных политик МФО, некоторых других видов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lastRenderedPageBreak/>
              <w:t>Некоторые вопросы автоматизации бухгалтерского учета и бухгалтерской (финансовой) отчетности.</w:t>
            </w:r>
          </w:p>
        </w:tc>
      </w:tr>
    </w:tbl>
    <w:p w:rsidR="0066250A" w:rsidRDefault="0066250A" w:rsidP="0066250A">
      <w:pPr>
        <w:pStyle w:val="a7"/>
        <w:ind w:left="0" w:firstLine="142"/>
        <w:jc w:val="both"/>
        <w:rPr>
          <w:rFonts w:ascii="Times New Roman" w:hAnsi="Times New Roman"/>
          <w:b/>
        </w:rPr>
      </w:pPr>
    </w:p>
    <w:p w:rsidR="00C57920" w:rsidRPr="0066250A" w:rsidRDefault="0066250A" w:rsidP="005D53B8">
      <w:pPr>
        <w:pStyle w:val="a7"/>
        <w:ind w:left="142"/>
        <w:jc w:val="both"/>
        <w:rPr>
          <w:rFonts w:ascii="Times New Roman" w:hAnsi="Times New Roman"/>
          <w:b/>
        </w:rPr>
      </w:pPr>
      <w:r w:rsidRPr="0066250A">
        <w:rPr>
          <w:rFonts w:ascii="Times New Roman" w:hAnsi="Times New Roman"/>
          <w:b/>
        </w:rPr>
        <w:t>Семинар</w:t>
      </w:r>
      <w:r>
        <w:rPr>
          <w:rFonts w:ascii="Times New Roman" w:hAnsi="Times New Roman"/>
          <w:b/>
        </w:rPr>
        <w:t>ы</w:t>
      </w:r>
      <w:r w:rsidRPr="0066250A">
        <w:rPr>
          <w:rFonts w:ascii="Times New Roman" w:hAnsi="Times New Roman"/>
          <w:b/>
        </w:rPr>
        <w:t xml:space="preserve"> провод</w:t>
      </w:r>
      <w:r>
        <w:rPr>
          <w:rFonts w:ascii="Times New Roman" w:hAnsi="Times New Roman"/>
          <w:b/>
        </w:rPr>
        <w:t>ит</w:t>
      </w:r>
      <w:r w:rsidRPr="0066250A">
        <w:rPr>
          <w:rFonts w:ascii="Times New Roman" w:hAnsi="Times New Roman"/>
          <w:b/>
        </w:rPr>
        <w:t xml:space="preserve">: </w:t>
      </w:r>
      <w:r w:rsidR="005D53B8">
        <w:rPr>
          <w:rFonts w:ascii="Times New Roman" w:hAnsi="Times New Roman"/>
        </w:rPr>
        <w:t>ведущий методолог</w:t>
      </w:r>
      <w:r w:rsidR="005D53B8" w:rsidRPr="00FB3CFD">
        <w:rPr>
          <w:rFonts w:ascii="Times New Roman" w:hAnsi="Times New Roman"/>
        </w:rPr>
        <w:t xml:space="preserve"> Института МФЦ по переходу НФО на ЕПС и ОСБУ</w:t>
      </w:r>
      <w:r w:rsidR="005D53B8">
        <w:rPr>
          <w:rFonts w:ascii="Times New Roman" w:hAnsi="Times New Roman"/>
        </w:rPr>
        <w:t>,</w:t>
      </w:r>
      <w:r w:rsidR="005D53B8" w:rsidRPr="009E4D80">
        <w:rPr>
          <w:rFonts w:ascii="Times New Roman" w:hAnsi="Times New Roman"/>
        </w:rPr>
        <w:t xml:space="preserve"> </w:t>
      </w:r>
      <w:r w:rsidR="005D53B8">
        <w:rPr>
          <w:rFonts w:ascii="Times New Roman" w:hAnsi="Times New Roman"/>
        </w:rPr>
        <w:t>аудитор-практик.</w:t>
      </w:r>
    </w:p>
    <w:p w:rsidR="00FF020C" w:rsidRPr="008649C4" w:rsidRDefault="0051712E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684EBF">
        <w:rPr>
          <w:rFonts w:ascii="Times New Roman" w:hAnsi="Times New Roman"/>
          <w:b/>
        </w:rPr>
        <w:t xml:space="preserve">Место и </w:t>
      </w:r>
      <w:r w:rsidR="0062028B">
        <w:rPr>
          <w:rFonts w:ascii="Times New Roman" w:hAnsi="Times New Roman"/>
          <w:b/>
        </w:rPr>
        <w:t xml:space="preserve">форма </w:t>
      </w:r>
      <w:r w:rsidRPr="00684EBF">
        <w:rPr>
          <w:rFonts w:ascii="Times New Roman" w:hAnsi="Times New Roman"/>
          <w:b/>
        </w:rPr>
        <w:t>проведения</w:t>
      </w:r>
      <w:r w:rsidR="00FF020C" w:rsidRPr="00684EBF">
        <w:rPr>
          <w:rFonts w:ascii="Times New Roman" w:hAnsi="Times New Roman"/>
          <w:b/>
        </w:rPr>
        <w:t>:</w:t>
      </w:r>
      <w:r w:rsidR="008649C4" w:rsidRPr="00684EBF">
        <w:rPr>
          <w:rFonts w:ascii="Times New Roman" w:hAnsi="Times New Roman"/>
          <w:b/>
        </w:rPr>
        <w:t xml:space="preserve"> </w:t>
      </w:r>
      <w:r w:rsidRPr="00684EBF">
        <w:rPr>
          <w:rFonts w:ascii="Times New Roman" w:hAnsi="Times New Roman"/>
        </w:rPr>
        <w:t>Семинар</w:t>
      </w:r>
      <w:r w:rsidR="000C3F93">
        <w:rPr>
          <w:rFonts w:ascii="Times New Roman" w:hAnsi="Times New Roman"/>
        </w:rPr>
        <w:t>ы</w:t>
      </w:r>
      <w:r w:rsidRPr="00684EBF">
        <w:rPr>
          <w:rFonts w:ascii="Times New Roman" w:hAnsi="Times New Roman"/>
        </w:rPr>
        <w:t xml:space="preserve"> будет проходить в помещении Института МФЦ по адр</w:t>
      </w:r>
      <w:r w:rsidRPr="008649C4">
        <w:rPr>
          <w:rFonts w:ascii="Times New Roman" w:hAnsi="Times New Roman"/>
        </w:rPr>
        <w:t>есу</w:t>
      </w:r>
      <w:r w:rsidR="00FF020C" w:rsidRPr="008649C4">
        <w:rPr>
          <w:rFonts w:ascii="Times New Roman" w:hAnsi="Times New Roman"/>
        </w:rPr>
        <w:t xml:space="preserve">: ул. Буженинова, д.30. Проезд до станции метро «Преображенская площадь». </w:t>
      </w:r>
      <w:r w:rsidR="00FF020C" w:rsidRPr="00A20D57">
        <w:rPr>
          <w:rFonts w:ascii="Times New Roman" w:hAnsi="Times New Roman"/>
          <w:b/>
          <w:bCs/>
          <w:lang w:eastAsia="ru-RU"/>
        </w:rPr>
        <w:t>Возможно участие онлайн.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6931E0" w:rsidRDefault="00FF020C" w:rsidP="006931E0">
      <w:pPr>
        <w:spacing w:after="0" w:line="240" w:lineRule="auto"/>
        <w:ind w:left="142"/>
        <w:jc w:val="both"/>
        <w:rPr>
          <w:rFonts w:ascii="Times New Roman" w:hAnsi="Times New Roman"/>
          <w:i/>
        </w:rPr>
      </w:pPr>
      <w:r w:rsidRPr="008649C4">
        <w:rPr>
          <w:rFonts w:ascii="Times New Roman" w:hAnsi="Times New Roman"/>
          <w:b/>
        </w:rPr>
        <w:t>Стоимость и скидки:</w:t>
      </w:r>
      <w:r w:rsidR="008649C4" w:rsidRPr="008649C4">
        <w:rPr>
          <w:rFonts w:ascii="Times New Roman" w:hAnsi="Times New Roman"/>
          <w:b/>
        </w:rPr>
        <w:t xml:space="preserve"> </w:t>
      </w:r>
      <w:r w:rsidR="00684EBF">
        <w:rPr>
          <w:rFonts w:ascii="Times New Roman" w:hAnsi="Times New Roman"/>
        </w:rPr>
        <w:t>с</w:t>
      </w:r>
      <w:r w:rsidRPr="008649C4">
        <w:rPr>
          <w:rFonts w:ascii="Times New Roman" w:hAnsi="Times New Roman"/>
        </w:rPr>
        <w:t xml:space="preserve">тоимость участия </w:t>
      </w:r>
      <w:r w:rsidR="007F5178">
        <w:rPr>
          <w:rFonts w:ascii="Times New Roman" w:hAnsi="Times New Roman"/>
        </w:rPr>
        <w:t>в одном семинаре</w:t>
      </w:r>
      <w:r w:rsidR="006C71D1">
        <w:rPr>
          <w:rFonts w:ascii="Times New Roman" w:hAnsi="Times New Roman"/>
        </w:rPr>
        <w:t xml:space="preserve"> </w:t>
      </w:r>
      <w:r w:rsidRPr="008649C4">
        <w:rPr>
          <w:rFonts w:ascii="Times New Roman" w:hAnsi="Times New Roman"/>
        </w:rPr>
        <w:t>составляет</w:t>
      </w:r>
      <w:r w:rsidR="009D3664" w:rsidRPr="009D3664">
        <w:rPr>
          <w:rFonts w:ascii="Times New Roman" w:hAnsi="Times New Roman"/>
        </w:rPr>
        <w:t xml:space="preserve"> </w:t>
      </w:r>
      <w:r w:rsidR="00A42C2B">
        <w:rPr>
          <w:rFonts w:ascii="Times New Roman" w:hAnsi="Times New Roman"/>
        </w:rPr>
        <w:t>5 000</w:t>
      </w:r>
      <w:r w:rsidR="00867029" w:rsidRPr="00867029">
        <w:rPr>
          <w:rFonts w:ascii="Times New Roman" w:hAnsi="Times New Roman"/>
        </w:rPr>
        <w:t xml:space="preserve"> </w:t>
      </w:r>
      <w:r w:rsidR="009D3664" w:rsidRPr="009D3664">
        <w:rPr>
          <w:rFonts w:ascii="Times New Roman" w:hAnsi="Times New Roman"/>
        </w:rPr>
        <w:t>(</w:t>
      </w:r>
      <w:r w:rsidR="0062028B">
        <w:rPr>
          <w:rFonts w:ascii="Times New Roman" w:hAnsi="Times New Roman"/>
        </w:rPr>
        <w:t>п</w:t>
      </w:r>
      <w:r w:rsidR="00A42C2B">
        <w:rPr>
          <w:rFonts w:ascii="Times New Roman" w:hAnsi="Times New Roman"/>
        </w:rPr>
        <w:t>ять тысяч</w:t>
      </w:r>
      <w:r w:rsidR="009D3664">
        <w:rPr>
          <w:rFonts w:ascii="Times New Roman" w:hAnsi="Times New Roman"/>
        </w:rPr>
        <w:t>) рублей</w:t>
      </w:r>
      <w:r w:rsidRPr="00B6186A">
        <w:rPr>
          <w:rFonts w:ascii="Times New Roman" w:hAnsi="Times New Roman"/>
        </w:rPr>
        <w:t>.</w:t>
      </w:r>
      <w:r w:rsidR="0062028B">
        <w:rPr>
          <w:rFonts w:ascii="Times New Roman" w:hAnsi="Times New Roman"/>
        </w:rPr>
        <w:t xml:space="preserve"> НДС не облагается.</w:t>
      </w:r>
      <w:r w:rsidRPr="008649C4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 xml:space="preserve">Скидки </w:t>
      </w:r>
      <w:r w:rsidR="00B6186A" w:rsidRPr="00B6186A">
        <w:rPr>
          <w:rFonts w:ascii="Times New Roman" w:hAnsi="Times New Roman"/>
        </w:rPr>
        <w:t xml:space="preserve">в размере от 10 до </w:t>
      </w:r>
      <w:r w:rsidR="00A00F41">
        <w:rPr>
          <w:rFonts w:ascii="Times New Roman" w:hAnsi="Times New Roman"/>
        </w:rPr>
        <w:t>20</w:t>
      </w:r>
      <w:r w:rsidR="00B6186A" w:rsidRPr="00B6186A">
        <w:rPr>
          <w:rFonts w:ascii="Times New Roman" w:hAnsi="Times New Roman"/>
        </w:rPr>
        <w:t xml:space="preserve"> процентов предоставляются клиентам Института/Учебного центра МФЦ; в размере 20 (двадцати) процентов при указании АНО «ИДПО МФЦ» в качестве обучающей организации в Пл</w:t>
      </w:r>
      <w:r w:rsidR="006931E0">
        <w:rPr>
          <w:rFonts w:ascii="Times New Roman" w:hAnsi="Times New Roman"/>
        </w:rPr>
        <w:t xml:space="preserve">ане обучения в рамках перехода </w:t>
      </w:r>
      <w:r w:rsidR="003930D2" w:rsidRPr="003930D2">
        <w:rPr>
          <w:rFonts w:ascii="Times New Roman" w:hAnsi="Times New Roman"/>
          <w:b/>
        </w:rPr>
        <w:t>членам СРО «МиР»</w:t>
      </w:r>
      <w:r w:rsidR="003930D2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 xml:space="preserve">и </w:t>
      </w:r>
      <w:r w:rsidR="00711CE0" w:rsidRPr="00F013E6">
        <w:rPr>
          <w:rFonts w:ascii="Times New Roman" w:hAnsi="Times New Roman"/>
          <w:b/>
        </w:rPr>
        <w:t xml:space="preserve">членам </w:t>
      </w:r>
      <w:r w:rsidR="006931E0" w:rsidRPr="00F013E6">
        <w:rPr>
          <w:rFonts w:ascii="Times New Roman" w:hAnsi="Times New Roman"/>
          <w:b/>
        </w:rPr>
        <w:t>НАУМИР</w:t>
      </w:r>
      <w:r w:rsidR="00711CE0" w:rsidRPr="00F013E6">
        <w:rPr>
          <w:rFonts w:ascii="Times New Roman" w:hAnsi="Times New Roman"/>
          <w:b/>
        </w:rPr>
        <w:t>.</w:t>
      </w:r>
      <w:r w:rsidR="00711CE0" w:rsidRPr="00711CE0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>Скидки не накапливаются и не суммируются.</w:t>
      </w:r>
      <w:r w:rsidR="006931E0" w:rsidRPr="006931E0">
        <w:rPr>
          <w:rFonts w:ascii="Times New Roman" w:hAnsi="Times New Roman"/>
          <w:i/>
        </w:rPr>
        <w:t xml:space="preserve"> </w:t>
      </w:r>
    </w:p>
    <w:p w:rsidR="006931E0" w:rsidRDefault="006931E0" w:rsidP="006931E0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50CE5">
        <w:rPr>
          <w:rFonts w:ascii="Times New Roman" w:hAnsi="Times New Roman"/>
          <w:i/>
        </w:rPr>
        <w:t>При заказе одного и более семинара – участие в вебинаре «Переход участников рынка микрофинансирования на план счетов (ЕПС)…»</w:t>
      </w:r>
      <w:r w:rsidRPr="00350CE5">
        <w:rPr>
          <w:rFonts w:ascii="Times New Roman" w:hAnsi="Times New Roman"/>
          <w:b/>
        </w:rPr>
        <w:t xml:space="preserve"> БЕСПЛАТНО</w:t>
      </w:r>
      <w:r w:rsidRPr="00350CE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F020C" w:rsidRDefault="00B6186A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</w:rPr>
        <w:t xml:space="preserve">В стоимость включаются кофе-брейк </w:t>
      </w:r>
      <w:r w:rsidR="00FB48C2" w:rsidRPr="00A00F41">
        <w:rPr>
          <w:rFonts w:ascii="Times New Roman" w:hAnsi="Times New Roman"/>
        </w:rPr>
        <w:t xml:space="preserve">(для </w:t>
      </w:r>
      <w:r w:rsidR="004D5A77" w:rsidRPr="00A00F41">
        <w:rPr>
          <w:rFonts w:ascii="Times New Roman" w:hAnsi="Times New Roman"/>
        </w:rPr>
        <w:t xml:space="preserve">«очных» участников) </w:t>
      </w:r>
      <w:r w:rsidRPr="00A00F41">
        <w:rPr>
          <w:rFonts w:ascii="Times New Roman" w:hAnsi="Times New Roman"/>
        </w:rPr>
        <w:t>и методические материалы.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341EF3" w:rsidRDefault="00341EF3" w:rsidP="00341EF3">
      <w:pPr>
        <w:spacing w:before="120" w:after="0" w:line="220" w:lineRule="exact"/>
        <w:ind w:left="142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80D4C">
        <w:rPr>
          <w:rFonts w:ascii="Times New Roman" w:hAnsi="Times New Roman"/>
          <w:b/>
          <w:sz w:val="24"/>
          <w:szCs w:val="24"/>
        </w:rPr>
        <w:t xml:space="preserve">ПЕЦИАЛЬНАЯ ЛЬГОТНАЯ ЦЕНА </w:t>
      </w:r>
      <w:r>
        <w:rPr>
          <w:rFonts w:ascii="Times New Roman" w:hAnsi="Times New Roman"/>
          <w:b/>
          <w:sz w:val="24"/>
          <w:szCs w:val="24"/>
        </w:rPr>
        <w:t>УЧА</w:t>
      </w:r>
      <w:r w:rsidRPr="00480D4C">
        <w:rPr>
          <w:rFonts w:ascii="Times New Roman" w:hAnsi="Times New Roman"/>
          <w:b/>
          <w:sz w:val="24"/>
          <w:szCs w:val="24"/>
        </w:rPr>
        <w:t xml:space="preserve">СТИЯ </w:t>
      </w:r>
      <w:r>
        <w:rPr>
          <w:rFonts w:ascii="Times New Roman" w:hAnsi="Times New Roman"/>
          <w:b/>
          <w:sz w:val="24"/>
          <w:szCs w:val="24"/>
        </w:rPr>
        <w:t xml:space="preserve">ВО ВСЕХ </w:t>
      </w:r>
      <w:r w:rsidRPr="00480D4C">
        <w:rPr>
          <w:rFonts w:ascii="Times New Roman" w:hAnsi="Times New Roman"/>
          <w:b/>
          <w:sz w:val="24"/>
          <w:szCs w:val="24"/>
        </w:rPr>
        <w:t>СЕМИНАР</w:t>
      </w:r>
      <w:r>
        <w:rPr>
          <w:rFonts w:ascii="Times New Roman" w:hAnsi="Times New Roman"/>
          <w:b/>
          <w:sz w:val="24"/>
          <w:szCs w:val="24"/>
        </w:rPr>
        <w:t>АХ</w:t>
      </w:r>
      <w:r w:rsidRPr="00480D4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(семь семинаров + вводный вебинар) </w:t>
      </w:r>
      <w:r>
        <w:rPr>
          <w:rFonts w:ascii="Times New Roman" w:hAnsi="Times New Roman"/>
          <w:sz w:val="24"/>
          <w:szCs w:val="24"/>
        </w:rPr>
        <w:t xml:space="preserve">составляет 21 000 (Двадцать одна тысяча) рублей для одного участника. </w:t>
      </w:r>
      <w:r w:rsidRPr="006A632D">
        <w:rPr>
          <w:rFonts w:ascii="Times New Roman" w:hAnsi="Times New Roman"/>
          <w:szCs w:val="20"/>
        </w:rPr>
        <w:t>По данной акции другие скидки не учитываются.</w:t>
      </w:r>
    </w:p>
    <w:p w:rsidR="00341EF3" w:rsidRDefault="00341EF3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A00F41" w:rsidRP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  <w:b/>
        </w:rPr>
        <w:t>Документы об обучении:</w:t>
      </w:r>
      <w:r w:rsidR="006A632D">
        <w:rPr>
          <w:rFonts w:ascii="Times New Roman" w:hAnsi="Times New Roman"/>
          <w:b/>
        </w:rPr>
        <w:t xml:space="preserve"> </w:t>
      </w:r>
      <w:r w:rsidR="006A632D" w:rsidRPr="006A632D">
        <w:rPr>
          <w:rFonts w:ascii="Times New Roman" w:hAnsi="Times New Roman"/>
        </w:rPr>
        <w:t>выдается</w:t>
      </w:r>
      <w:r w:rsidRPr="006A632D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достоверение о повышении квалификации (при обучении от 16 часов), свидетельство об участии (при обучении менее 16 часов)</w:t>
      </w:r>
      <w:r w:rsidR="00341EF3">
        <w:rPr>
          <w:rFonts w:ascii="Times New Roman" w:hAnsi="Times New Roman"/>
        </w:rPr>
        <w:t>. Аттестованным профессиональным бухгалтером может быть также</w:t>
      </w:r>
      <w:r w:rsidR="006A632D">
        <w:rPr>
          <w:rFonts w:ascii="Times New Roman" w:hAnsi="Times New Roman"/>
        </w:rPr>
        <w:t xml:space="preserve"> предоставлен</w:t>
      </w:r>
      <w:r w:rsidR="00341EF3">
        <w:rPr>
          <w:rFonts w:ascii="Times New Roman" w:hAnsi="Times New Roman"/>
        </w:rPr>
        <w:t xml:space="preserve"> документ об обязательном повышении квалификации (при условии предоставления слушателем необходимых документов).</w:t>
      </w:r>
    </w:p>
    <w:p w:rsidR="00FF020C" w:rsidRPr="005D484E" w:rsidRDefault="00FF020C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8649C4">
        <w:rPr>
          <w:rFonts w:ascii="Times New Roman" w:hAnsi="Times New Roman"/>
          <w:b/>
        </w:rPr>
        <w:t>Административная информация:</w:t>
      </w:r>
      <w:r w:rsidR="008649C4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>з</w:t>
      </w:r>
      <w:r w:rsidR="006931E0" w:rsidRPr="008649C4">
        <w:rPr>
          <w:rFonts w:ascii="Times New Roman" w:hAnsi="Times New Roman"/>
        </w:rPr>
        <w:t>аявки на участие в семинар</w:t>
      </w:r>
      <w:r w:rsidR="006931E0">
        <w:rPr>
          <w:rFonts w:ascii="Times New Roman" w:hAnsi="Times New Roman"/>
        </w:rPr>
        <w:t>ах</w:t>
      </w:r>
      <w:r w:rsidR="006931E0" w:rsidRPr="008649C4">
        <w:rPr>
          <w:rFonts w:ascii="Times New Roman" w:hAnsi="Times New Roman"/>
        </w:rPr>
        <w:t xml:space="preserve"> просьба направлять </w:t>
      </w:r>
      <w:r w:rsidR="00D663AE">
        <w:rPr>
          <w:rFonts w:ascii="Times New Roman" w:hAnsi="Times New Roman"/>
          <w:b/>
        </w:rPr>
        <w:t xml:space="preserve">до </w:t>
      </w:r>
      <w:r w:rsidR="002128D2">
        <w:rPr>
          <w:rFonts w:ascii="Times New Roman" w:hAnsi="Times New Roman"/>
          <w:b/>
        </w:rPr>
        <w:t>26 февраля</w:t>
      </w:r>
      <w:r w:rsidR="006931E0">
        <w:rPr>
          <w:rFonts w:ascii="Times New Roman" w:hAnsi="Times New Roman"/>
          <w:b/>
        </w:rPr>
        <w:t xml:space="preserve"> </w:t>
      </w:r>
      <w:r w:rsidR="006931E0" w:rsidRPr="008649C4">
        <w:rPr>
          <w:rFonts w:ascii="Times New Roman" w:hAnsi="Times New Roman"/>
          <w:b/>
        </w:rPr>
        <w:t>201</w:t>
      </w:r>
      <w:r w:rsidR="002128D2">
        <w:rPr>
          <w:rFonts w:ascii="Times New Roman" w:hAnsi="Times New Roman"/>
          <w:b/>
        </w:rPr>
        <w:t>8</w:t>
      </w:r>
      <w:r w:rsidR="006931E0" w:rsidRPr="008649C4">
        <w:rPr>
          <w:rFonts w:ascii="Times New Roman" w:hAnsi="Times New Roman"/>
        </w:rPr>
        <w:t xml:space="preserve"> г. включительно </w:t>
      </w:r>
      <w:r w:rsidR="006931E0" w:rsidRPr="00426D7A">
        <w:rPr>
          <w:rFonts w:ascii="Times New Roman" w:hAnsi="Times New Roman"/>
        </w:rPr>
        <w:t>на имя</w:t>
      </w:r>
      <w:r w:rsidR="006931E0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  <w:b/>
        </w:rPr>
        <w:t xml:space="preserve">Ивановой Марии </w:t>
      </w:r>
      <w:r w:rsidR="006931E0" w:rsidRPr="0089257D">
        <w:rPr>
          <w:rFonts w:ascii="Times New Roman" w:hAnsi="Times New Roman"/>
        </w:rPr>
        <w:t>или</w:t>
      </w:r>
      <w:r w:rsidR="006931E0">
        <w:rPr>
          <w:rFonts w:ascii="Times New Roman" w:hAnsi="Times New Roman"/>
          <w:b/>
        </w:rPr>
        <w:t xml:space="preserve"> Махнович Инны </w:t>
      </w:r>
      <w:r w:rsidR="006931E0" w:rsidRPr="008649C4">
        <w:rPr>
          <w:rFonts w:ascii="Times New Roman" w:hAnsi="Times New Roman"/>
        </w:rPr>
        <w:t xml:space="preserve">по тел./ф. </w:t>
      </w:r>
      <w:r w:rsidR="006931E0" w:rsidRPr="00426D7A">
        <w:rPr>
          <w:rFonts w:ascii="Times New Roman" w:hAnsi="Times New Roman"/>
          <w:b/>
        </w:rPr>
        <w:t>8(495)921-22-73</w:t>
      </w:r>
      <w:r w:rsidR="006931E0">
        <w:rPr>
          <w:rFonts w:ascii="Times New Roman" w:hAnsi="Times New Roman"/>
        </w:rPr>
        <w:t xml:space="preserve"> (многоканальный) или </w:t>
      </w:r>
      <w:hyperlink r:id="rId10" w:history="1">
        <w:r w:rsidR="006931E0" w:rsidRPr="00035379">
          <w:rPr>
            <w:rStyle w:val="a6"/>
            <w:rFonts w:ascii="Times New Roman" w:hAnsi="Times New Roman"/>
            <w:lang w:val="en-US"/>
          </w:rPr>
          <w:t>seminar</w:t>
        </w:r>
        <w:r w:rsidR="006931E0" w:rsidRPr="00035379">
          <w:rPr>
            <w:rStyle w:val="a6"/>
            <w:rFonts w:ascii="Times New Roman" w:hAnsi="Times New Roman"/>
          </w:rPr>
          <w:t>2@</w:t>
        </w:r>
        <w:r w:rsidR="006931E0" w:rsidRPr="00035379">
          <w:rPr>
            <w:rStyle w:val="a6"/>
            <w:rFonts w:ascii="Times New Roman" w:hAnsi="Times New Roman"/>
            <w:lang w:val="en-US"/>
          </w:rPr>
          <w:t>educenter</w:t>
        </w:r>
        <w:r w:rsidR="006931E0" w:rsidRPr="00035379">
          <w:rPr>
            <w:rStyle w:val="a6"/>
            <w:rFonts w:ascii="Times New Roman" w:hAnsi="Times New Roman"/>
          </w:rPr>
          <w:t>.</w:t>
        </w:r>
        <w:r w:rsidR="006931E0" w:rsidRPr="00035379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; </w:t>
      </w:r>
      <w:hyperlink r:id="rId11" w:history="1">
        <w:r w:rsidR="006931E0" w:rsidRPr="00B9720B">
          <w:rPr>
            <w:rStyle w:val="a6"/>
            <w:rFonts w:ascii="Times New Roman" w:hAnsi="Times New Roman"/>
            <w:lang w:val="en-US"/>
          </w:rPr>
          <w:t>seminar</w:t>
        </w:r>
        <w:r w:rsidR="006931E0" w:rsidRPr="00B9720B">
          <w:rPr>
            <w:rStyle w:val="a6"/>
            <w:rFonts w:ascii="Times New Roman" w:hAnsi="Times New Roman"/>
          </w:rPr>
          <w:t>6@</w:t>
        </w:r>
        <w:r w:rsidR="006931E0" w:rsidRPr="00B9720B">
          <w:rPr>
            <w:rStyle w:val="a6"/>
            <w:rFonts w:ascii="Times New Roman" w:hAnsi="Times New Roman"/>
            <w:lang w:val="en-US"/>
          </w:rPr>
          <w:t>educenter</w:t>
        </w:r>
        <w:r w:rsidR="006931E0" w:rsidRPr="00B9720B">
          <w:rPr>
            <w:rStyle w:val="a6"/>
            <w:rFonts w:ascii="Times New Roman" w:hAnsi="Times New Roman"/>
          </w:rPr>
          <w:t>.</w:t>
        </w:r>
        <w:r w:rsidR="006931E0" w:rsidRPr="00B9720B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или </w:t>
      </w:r>
      <w:hyperlink r:id="rId12" w:history="1">
        <w:r w:rsidR="006931E0" w:rsidRPr="00862BCF">
          <w:rPr>
            <w:rStyle w:val="a6"/>
            <w:rFonts w:ascii="Times New Roman" w:hAnsi="Times New Roman"/>
            <w:lang w:val="en-US"/>
          </w:rPr>
          <w:t>www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educenter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>.</w:t>
      </w:r>
    </w:p>
    <w:sectPr w:rsidR="00FF020C" w:rsidRPr="005D484E" w:rsidSect="009D2F9C">
      <w:footerReference w:type="default" r:id="rId13"/>
      <w:pgSz w:w="11906" w:h="16838"/>
      <w:pgMar w:top="284" w:right="707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F4" w:rsidRDefault="00FC1FF4" w:rsidP="005B2CA0">
      <w:pPr>
        <w:spacing w:after="0" w:line="240" w:lineRule="auto"/>
      </w:pPr>
      <w:r>
        <w:separator/>
      </w:r>
    </w:p>
  </w:endnote>
  <w:end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7" w:rsidRPr="004D5A77" w:rsidRDefault="00170425">
    <w:pPr>
      <w:pStyle w:val="ab"/>
      <w:jc w:val="center"/>
      <w:rPr>
        <w:rFonts w:ascii="Times New Roman" w:hAnsi="Times New Roman"/>
      </w:rPr>
    </w:pPr>
    <w:r w:rsidRPr="004D5A77">
      <w:rPr>
        <w:rFonts w:ascii="Times New Roman" w:hAnsi="Times New Roman"/>
      </w:rPr>
      <w:fldChar w:fldCharType="begin"/>
    </w:r>
    <w:r w:rsidR="004D5A77" w:rsidRPr="004D5A77">
      <w:rPr>
        <w:rFonts w:ascii="Times New Roman" w:hAnsi="Times New Roman"/>
      </w:rPr>
      <w:instrText>PAGE   \* MERGEFORMAT</w:instrText>
    </w:r>
    <w:r w:rsidRPr="004D5A77">
      <w:rPr>
        <w:rFonts w:ascii="Times New Roman" w:hAnsi="Times New Roman"/>
      </w:rPr>
      <w:fldChar w:fldCharType="separate"/>
    </w:r>
    <w:r w:rsidR="00B16C1F">
      <w:rPr>
        <w:rFonts w:ascii="Times New Roman" w:hAnsi="Times New Roman"/>
        <w:noProof/>
      </w:rPr>
      <w:t>2</w:t>
    </w:r>
    <w:r w:rsidRPr="004D5A77">
      <w:rPr>
        <w:rFonts w:ascii="Times New Roman" w:hAnsi="Times New Roman"/>
      </w:rPr>
      <w:fldChar w:fldCharType="end"/>
    </w:r>
  </w:p>
  <w:p w:rsidR="004D5A77" w:rsidRDefault="004D5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F4" w:rsidRDefault="00FC1FF4" w:rsidP="005B2CA0">
      <w:pPr>
        <w:spacing w:after="0" w:line="240" w:lineRule="auto"/>
      </w:pPr>
      <w:r>
        <w:separator/>
      </w:r>
    </w:p>
  </w:footnote>
  <w:foot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footnote>
  <w:footnote w:id="1">
    <w:p w:rsidR="00C61215" w:rsidRDefault="00674FC6" w:rsidP="00674FC6">
      <w:pPr>
        <w:pStyle w:val="af1"/>
        <w:jc w:val="both"/>
      </w:pPr>
      <w:r w:rsidRPr="00674FC6">
        <w:rPr>
          <w:rStyle w:val="af3"/>
          <w:rFonts w:ascii="Times New Roman" w:hAnsi="Times New Roman"/>
        </w:rPr>
        <w:footnoteRef/>
      </w:r>
      <w:r w:rsidRPr="00674FC6">
        <w:rPr>
          <w:rFonts w:ascii="Times New Roman" w:hAnsi="Times New Roman"/>
        </w:rPr>
        <w:t xml:space="preserve"> Бесплатный доступ к записи вводного вебинара предоставляется участникам, оплатившим хотя бы один из семинаров цикла.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60B1"/>
    <w:multiLevelType w:val="hybridMultilevel"/>
    <w:tmpl w:val="75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6B0"/>
    <w:multiLevelType w:val="hybridMultilevel"/>
    <w:tmpl w:val="89F029CE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1D6"/>
    <w:multiLevelType w:val="multilevel"/>
    <w:tmpl w:val="389C0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36100"/>
    <w:multiLevelType w:val="hybridMultilevel"/>
    <w:tmpl w:val="3E8CF52A"/>
    <w:lvl w:ilvl="0" w:tplc="C464B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C05207E"/>
    <w:multiLevelType w:val="hybridMultilevel"/>
    <w:tmpl w:val="88222526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A8C"/>
    <w:multiLevelType w:val="hybridMultilevel"/>
    <w:tmpl w:val="08A0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547"/>
    <w:multiLevelType w:val="hybridMultilevel"/>
    <w:tmpl w:val="17F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6A58"/>
    <w:multiLevelType w:val="hybridMultilevel"/>
    <w:tmpl w:val="236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 w15:restartNumberingAfterBreak="0">
    <w:nsid w:val="25DB7F9C"/>
    <w:multiLevelType w:val="hybridMultilevel"/>
    <w:tmpl w:val="B84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2D97"/>
    <w:multiLevelType w:val="hybridMultilevel"/>
    <w:tmpl w:val="5B4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C1F49"/>
    <w:multiLevelType w:val="hybridMultilevel"/>
    <w:tmpl w:val="031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358A1"/>
    <w:multiLevelType w:val="hybridMultilevel"/>
    <w:tmpl w:val="A4DE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04B3B"/>
    <w:multiLevelType w:val="hybridMultilevel"/>
    <w:tmpl w:val="C1A2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5404E"/>
    <w:multiLevelType w:val="hybridMultilevel"/>
    <w:tmpl w:val="74D6A3B8"/>
    <w:lvl w:ilvl="0" w:tplc="06E4A4DA">
      <w:start w:val="1"/>
      <w:numFmt w:val="bullet"/>
      <w:lvlText w:val="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C2839"/>
    <w:multiLevelType w:val="hybridMultilevel"/>
    <w:tmpl w:val="3E001912"/>
    <w:lvl w:ilvl="0" w:tplc="3ECC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CB15FC1"/>
    <w:multiLevelType w:val="hybridMultilevel"/>
    <w:tmpl w:val="54E2E252"/>
    <w:lvl w:ilvl="0" w:tplc="06E4A4DA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B7AA0"/>
    <w:multiLevelType w:val="hybridMultilevel"/>
    <w:tmpl w:val="56D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B87ED7"/>
    <w:multiLevelType w:val="hybridMultilevel"/>
    <w:tmpl w:val="809E9C28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3760E"/>
    <w:multiLevelType w:val="hybridMultilevel"/>
    <w:tmpl w:val="9BAA364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AF6109"/>
    <w:multiLevelType w:val="multilevel"/>
    <w:tmpl w:val="FBDA7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9" w15:restartNumberingAfterBreak="0">
    <w:nsid w:val="69204685"/>
    <w:multiLevelType w:val="hybridMultilevel"/>
    <w:tmpl w:val="4C5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6C2BA4"/>
    <w:multiLevelType w:val="hybridMultilevel"/>
    <w:tmpl w:val="FAE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1A33"/>
    <w:multiLevelType w:val="hybridMultilevel"/>
    <w:tmpl w:val="85769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E57B8E"/>
    <w:multiLevelType w:val="multilevel"/>
    <w:tmpl w:val="27E00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0">
    <w:nsid w:val="741474E4"/>
    <w:multiLevelType w:val="hybridMultilevel"/>
    <w:tmpl w:val="3A7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6"/>
  </w:num>
  <w:num w:numId="6">
    <w:abstractNumId w:val="12"/>
  </w:num>
  <w:num w:numId="7">
    <w:abstractNumId w:val="15"/>
  </w:num>
  <w:num w:numId="8">
    <w:abstractNumId w:val="30"/>
  </w:num>
  <w:num w:numId="9">
    <w:abstractNumId w:val="11"/>
  </w:num>
  <w:num w:numId="10">
    <w:abstractNumId w:val="22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33"/>
  </w:num>
  <w:num w:numId="16">
    <w:abstractNumId w:val="29"/>
  </w:num>
  <w:num w:numId="17">
    <w:abstractNumId w:val="3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7"/>
  </w:num>
  <w:num w:numId="22">
    <w:abstractNumId w:val="17"/>
  </w:num>
  <w:num w:numId="23">
    <w:abstractNumId w:val="24"/>
  </w:num>
  <w:num w:numId="24">
    <w:abstractNumId w:val="16"/>
  </w:num>
  <w:num w:numId="25">
    <w:abstractNumId w:val="25"/>
  </w:num>
  <w:num w:numId="26">
    <w:abstractNumId w:val="28"/>
  </w:num>
  <w:num w:numId="27">
    <w:abstractNumId w:val="32"/>
  </w:num>
  <w:num w:numId="28">
    <w:abstractNumId w:val="4"/>
  </w:num>
  <w:num w:numId="29">
    <w:abstractNumId w:val="21"/>
  </w:num>
  <w:num w:numId="30">
    <w:abstractNumId w:val="18"/>
  </w:num>
  <w:num w:numId="31">
    <w:abstractNumId w:val="34"/>
  </w:num>
  <w:num w:numId="32">
    <w:abstractNumId w:val="9"/>
  </w:num>
  <w:num w:numId="33">
    <w:abstractNumId w:val="0"/>
  </w:num>
  <w:num w:numId="34">
    <w:abstractNumId w:val="14"/>
  </w:num>
  <w:num w:numId="35">
    <w:abstractNumId w:val="5"/>
  </w:num>
  <w:num w:numId="36">
    <w:abstractNumId w:val="8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42B3"/>
    <w:rsid w:val="00031A00"/>
    <w:rsid w:val="00035379"/>
    <w:rsid w:val="00041B73"/>
    <w:rsid w:val="0006745C"/>
    <w:rsid w:val="00080655"/>
    <w:rsid w:val="000C3F93"/>
    <w:rsid w:val="000D5427"/>
    <w:rsid w:val="000E089D"/>
    <w:rsid w:val="000E416C"/>
    <w:rsid w:val="001062B8"/>
    <w:rsid w:val="00113D90"/>
    <w:rsid w:val="001159EC"/>
    <w:rsid w:val="00141A61"/>
    <w:rsid w:val="00170425"/>
    <w:rsid w:val="00177227"/>
    <w:rsid w:val="00193EDE"/>
    <w:rsid w:val="001B1225"/>
    <w:rsid w:val="001B28BA"/>
    <w:rsid w:val="001E764E"/>
    <w:rsid w:val="002128D2"/>
    <w:rsid w:val="00217F6B"/>
    <w:rsid w:val="00220EB7"/>
    <w:rsid w:val="00233312"/>
    <w:rsid w:val="00235CD2"/>
    <w:rsid w:val="00256EE3"/>
    <w:rsid w:val="00266280"/>
    <w:rsid w:val="002710AA"/>
    <w:rsid w:val="002A3308"/>
    <w:rsid w:val="002E3B03"/>
    <w:rsid w:val="0030095A"/>
    <w:rsid w:val="003072C7"/>
    <w:rsid w:val="003205DC"/>
    <w:rsid w:val="003253F0"/>
    <w:rsid w:val="00341EF3"/>
    <w:rsid w:val="00350CE5"/>
    <w:rsid w:val="0035319C"/>
    <w:rsid w:val="003930D2"/>
    <w:rsid w:val="003D31AF"/>
    <w:rsid w:val="00411600"/>
    <w:rsid w:val="00413A36"/>
    <w:rsid w:val="00426D7A"/>
    <w:rsid w:val="00474EBF"/>
    <w:rsid w:val="00480D4C"/>
    <w:rsid w:val="004D5A77"/>
    <w:rsid w:val="004F057B"/>
    <w:rsid w:val="0051712E"/>
    <w:rsid w:val="00526E14"/>
    <w:rsid w:val="005354A3"/>
    <w:rsid w:val="00541E39"/>
    <w:rsid w:val="0059117D"/>
    <w:rsid w:val="005A30C5"/>
    <w:rsid w:val="005A332F"/>
    <w:rsid w:val="005B2CA0"/>
    <w:rsid w:val="005C1DB6"/>
    <w:rsid w:val="005D484E"/>
    <w:rsid w:val="005D4F8D"/>
    <w:rsid w:val="005D53B8"/>
    <w:rsid w:val="005E0350"/>
    <w:rsid w:val="005F2E34"/>
    <w:rsid w:val="005F3AD9"/>
    <w:rsid w:val="00614709"/>
    <w:rsid w:val="0062028B"/>
    <w:rsid w:val="00630196"/>
    <w:rsid w:val="00634A63"/>
    <w:rsid w:val="00660DDA"/>
    <w:rsid w:val="0066250A"/>
    <w:rsid w:val="00674FC6"/>
    <w:rsid w:val="00684EBF"/>
    <w:rsid w:val="00686C15"/>
    <w:rsid w:val="006915FE"/>
    <w:rsid w:val="006931E0"/>
    <w:rsid w:val="00693899"/>
    <w:rsid w:val="006A632D"/>
    <w:rsid w:val="006B7CFA"/>
    <w:rsid w:val="006C71D1"/>
    <w:rsid w:val="00711CE0"/>
    <w:rsid w:val="0071708E"/>
    <w:rsid w:val="00763BB1"/>
    <w:rsid w:val="00776895"/>
    <w:rsid w:val="007958CD"/>
    <w:rsid w:val="007A6E03"/>
    <w:rsid w:val="007F5178"/>
    <w:rsid w:val="007F675D"/>
    <w:rsid w:val="007F7640"/>
    <w:rsid w:val="0081796E"/>
    <w:rsid w:val="008337F6"/>
    <w:rsid w:val="008511BD"/>
    <w:rsid w:val="00862BCF"/>
    <w:rsid w:val="008649C4"/>
    <w:rsid w:val="00867029"/>
    <w:rsid w:val="008867D3"/>
    <w:rsid w:val="008907A7"/>
    <w:rsid w:val="008913F9"/>
    <w:rsid w:val="0089257D"/>
    <w:rsid w:val="008B3F81"/>
    <w:rsid w:val="008E5F16"/>
    <w:rsid w:val="00902544"/>
    <w:rsid w:val="00906237"/>
    <w:rsid w:val="0091657D"/>
    <w:rsid w:val="00983E7A"/>
    <w:rsid w:val="009D2F9C"/>
    <w:rsid w:val="009D3496"/>
    <w:rsid w:val="009D3664"/>
    <w:rsid w:val="009E1A37"/>
    <w:rsid w:val="009E4D80"/>
    <w:rsid w:val="009E6976"/>
    <w:rsid w:val="009E7ED4"/>
    <w:rsid w:val="00A00F41"/>
    <w:rsid w:val="00A20D57"/>
    <w:rsid w:val="00A3507F"/>
    <w:rsid w:val="00A41AA2"/>
    <w:rsid w:val="00A42C2B"/>
    <w:rsid w:val="00A50433"/>
    <w:rsid w:val="00A8342B"/>
    <w:rsid w:val="00AD0046"/>
    <w:rsid w:val="00B043A9"/>
    <w:rsid w:val="00B069B5"/>
    <w:rsid w:val="00B11165"/>
    <w:rsid w:val="00B16C1F"/>
    <w:rsid w:val="00B361AB"/>
    <w:rsid w:val="00B50220"/>
    <w:rsid w:val="00B56EE4"/>
    <w:rsid w:val="00B612DD"/>
    <w:rsid w:val="00B6186A"/>
    <w:rsid w:val="00B62EB0"/>
    <w:rsid w:val="00B9720B"/>
    <w:rsid w:val="00BA4FE0"/>
    <w:rsid w:val="00BD5BF4"/>
    <w:rsid w:val="00BD5C6F"/>
    <w:rsid w:val="00C57920"/>
    <w:rsid w:val="00C61215"/>
    <w:rsid w:val="00C70EEA"/>
    <w:rsid w:val="00C74F92"/>
    <w:rsid w:val="00C75640"/>
    <w:rsid w:val="00CB1884"/>
    <w:rsid w:val="00CD7E5F"/>
    <w:rsid w:val="00D548BF"/>
    <w:rsid w:val="00D663AE"/>
    <w:rsid w:val="00D95D99"/>
    <w:rsid w:val="00D962F8"/>
    <w:rsid w:val="00DE022A"/>
    <w:rsid w:val="00DE14B8"/>
    <w:rsid w:val="00E12B0C"/>
    <w:rsid w:val="00E13B66"/>
    <w:rsid w:val="00E231A0"/>
    <w:rsid w:val="00E677CC"/>
    <w:rsid w:val="00E71E93"/>
    <w:rsid w:val="00E845E4"/>
    <w:rsid w:val="00E86861"/>
    <w:rsid w:val="00EE4E76"/>
    <w:rsid w:val="00F013E6"/>
    <w:rsid w:val="00F230DC"/>
    <w:rsid w:val="00F26696"/>
    <w:rsid w:val="00F55B50"/>
    <w:rsid w:val="00F568F0"/>
    <w:rsid w:val="00F607C2"/>
    <w:rsid w:val="00FA4506"/>
    <w:rsid w:val="00FA47CC"/>
    <w:rsid w:val="00FB3CFD"/>
    <w:rsid w:val="00FB48C2"/>
    <w:rsid w:val="00FC1FF4"/>
    <w:rsid w:val="00FC2CE9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6@educent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minar2@educent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4857-9E7F-4007-B98B-BB1D8259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10525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Павлей</dc:creator>
  <cp:lastModifiedBy>Наталья Захарова</cp:lastModifiedBy>
  <cp:revision>2</cp:revision>
  <cp:lastPrinted>2016-03-22T11:05:00Z</cp:lastPrinted>
  <dcterms:created xsi:type="dcterms:W3CDTF">2018-01-17T12:25:00Z</dcterms:created>
  <dcterms:modified xsi:type="dcterms:W3CDTF">2018-01-17T12:25:00Z</dcterms:modified>
</cp:coreProperties>
</file>